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Приложение</w:t>
      </w:r>
    </w:p>
    <w:p w14:paraId="02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постановлению администрации</w:t>
      </w:r>
    </w:p>
    <w:p w14:paraId="03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Солигаличского</w:t>
      </w:r>
      <w:r>
        <w:rPr>
          <w:rFonts w:ascii="Times New Roman" w:hAnsi="Times New Roman"/>
          <w:sz w:val="24"/>
        </w:rPr>
        <w:t xml:space="preserve"> муниципального </w:t>
      </w:r>
    </w:p>
    <w:p w14:paraId="04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округа Костромской области</w:t>
      </w:r>
    </w:p>
    <w:p w14:paraId="05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 « 20»  июня 2024 г. № 752</w:t>
      </w:r>
    </w:p>
    <w:p w14:paraId="06000000">
      <w:pPr>
        <w:spacing w:after="0" w:before="0" w:line="100" w:lineRule="atLeast"/>
        <w:ind/>
        <w:jc w:val="right"/>
        <w:rPr>
          <w:rFonts w:ascii="Times New Roman" w:hAnsi="Times New Roman"/>
          <w:sz w:val="24"/>
        </w:rPr>
      </w:pPr>
    </w:p>
    <w:p w14:paraId="07000000">
      <w:pPr>
        <w:spacing w:after="0" w:before="0" w:line="100" w:lineRule="atLeast"/>
        <w:ind/>
        <w:jc w:val="center"/>
        <w:rPr>
          <w:rFonts w:ascii="Times New Roman" w:hAnsi="Times New Roman"/>
          <w:sz w:val="24"/>
        </w:rPr>
      </w:pPr>
    </w:p>
    <w:p w14:paraId="08000000">
      <w:pPr>
        <w:spacing w:after="0" w:before="0" w:line="100" w:lineRule="atLeast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ПРОВЕРОК</w:t>
      </w:r>
    </w:p>
    <w:p w14:paraId="09000000">
      <w:pPr>
        <w:spacing w:after="0" w:before="0" w:line="100" w:lineRule="atLeast"/>
        <w:ind/>
        <w:jc w:val="center"/>
        <w:rPr>
          <w:rFonts w:ascii="Times New Roman" w:hAnsi="Times New Roman"/>
          <w:sz w:val="24"/>
        </w:rPr>
      </w:pPr>
    </w:p>
    <w:p w14:paraId="0A000000">
      <w:pPr>
        <w:spacing w:after="0" w:before="0" w:line="100" w:lineRule="atLeast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отношении объекта культурного наследия регионального значения </w:t>
      </w:r>
    </w:p>
    <w:p w14:paraId="0B000000">
      <w:pPr>
        <w:widowControl w:val="1"/>
        <w:ind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 xml:space="preserve">« </w:t>
      </w:r>
      <w:r>
        <w:rPr>
          <w:rFonts w:ascii="Times New Roman" w:hAnsi="Times New Roman"/>
          <w:sz w:val="24"/>
        </w:rPr>
        <w:t xml:space="preserve">Дом жилой Н.В. Марина», </w:t>
      </w:r>
      <w:r>
        <w:rPr>
          <w:rFonts w:ascii="Times New Roman" w:hAnsi="Times New Roman"/>
          <w:color w:val="000000"/>
          <w:sz w:val="24"/>
        </w:rPr>
        <w:t>кон. ХIХ в.</w:t>
      </w:r>
    </w:p>
    <w:p w14:paraId="0C000000">
      <w:pPr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(Костромская область, г. Солигалич, </w:t>
      </w:r>
      <w:r>
        <w:rPr>
          <w:rFonts w:ascii="Times New Roman" w:hAnsi="Times New Roman"/>
          <w:color w:val="000000"/>
          <w:sz w:val="24"/>
        </w:rPr>
        <w:t>у</w:t>
      </w:r>
      <w:r>
        <w:rPr>
          <w:rFonts w:ascii="Times New Roman" w:hAnsi="Times New Roman"/>
          <w:color w:val="000000"/>
          <w:sz w:val="24"/>
        </w:rPr>
        <w:t>л. Набережная реки Костромы</w:t>
      </w:r>
      <w:r>
        <w:rPr>
          <w:rFonts w:ascii="Times New Roman" w:hAnsi="Times New Roman"/>
          <w:color w:val="000000"/>
          <w:sz w:val="24"/>
        </w:rPr>
        <w:t>, д.76)</w:t>
      </w:r>
    </w:p>
    <w:p w14:paraId="0D000000">
      <w:pPr>
        <w:spacing w:after="0" w:before="0" w:line="100" w:lineRule="atLeast"/>
        <w:ind w:firstLine="720" w:left="0" w:righ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Основание формирования программы проверок - истечение срока (завершение периода) проведения работ по сохранению объекта культурного наследия регионального значения, установленного охранным обязательством собственника или иного законного владельца объекта культурного наследия</w:t>
      </w:r>
    </w:p>
    <w:p w14:paraId="0E000000">
      <w:pPr>
        <w:spacing w:after="0" w:before="0" w:line="100" w:lineRule="atLeast"/>
        <w:ind/>
        <w:jc w:val="both"/>
        <w:rPr>
          <w:rFonts w:ascii="Times New Roman" w:hAnsi="Times New Roman"/>
          <w:sz w:val="24"/>
        </w:rPr>
      </w:pPr>
    </w:p>
    <w:tbl>
      <w:tblPr>
        <w:tblStyle w:val="Style_1"/>
        <w:tblInd w:type="dxa" w:w="-64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66"/>
        <w:gridCol w:w="5082"/>
        <w:gridCol w:w="4537"/>
      </w:tblGrid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0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объекта культурного наследия (далее – ОКН) в соответствии </w:t>
            </w:r>
          </w:p>
          <w:p w14:paraId="11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учетной записью в едином государственном реестре объектов культурного наследия (памятников истории и культуры) народов Российской Федерации (далее – ЕГРОКН), регистрационный номер ОКН в ЕГРОКН, категория историко-культурного значения ОКН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2000000">
            <w:pPr>
              <w:pStyle w:val="Style_2"/>
              <w:ind w:firstLine="0" w:left="0" w:righ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Объект культурного наследия регионального значения </w:t>
            </w:r>
            <w:r>
              <w:rPr>
                <w:rFonts w:ascii="Times New Roman" w:hAnsi="Times New Roman"/>
                <w:sz w:val="24"/>
              </w:rPr>
              <w:t xml:space="preserve">« </w:t>
            </w:r>
            <w:r>
              <w:rPr>
                <w:rFonts w:ascii="Times New Roman" w:hAnsi="Times New Roman"/>
                <w:sz w:val="24"/>
              </w:rPr>
              <w:t>Дом, в котором работал Совет рабочих, солдатских и крестьянских депутатов в 1917 г.»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3000000">
            <w:pPr>
              <w:pStyle w:val="Style_2"/>
              <w:ind w:firstLine="0" w:left="0" w:righ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(Костромская область,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 Солигалич, 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л. Вылузгина</w:t>
            </w:r>
            <w:r>
              <w:rPr>
                <w:rFonts w:ascii="Times New Roman" w:hAnsi="Times New Roman"/>
                <w:color w:val="000000"/>
                <w:sz w:val="24"/>
              </w:rPr>
              <w:t>, д. 6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14000000">
            <w:pPr>
              <w:pStyle w:val="Style_2"/>
              <w:ind w:firstLine="0" w:left="0" w:right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(регистрационный номер ЕГРОКН – </w:t>
            </w:r>
            <w:r>
              <w:rPr>
                <w:rFonts w:ascii="Times New Roman" w:hAnsi="Times New Roman"/>
                <w:sz w:val="24"/>
              </w:rPr>
              <w:t>441711082750005):</w:t>
            </w:r>
            <w:r>
              <w:rPr>
                <w:rFonts w:ascii="Times New Roman" w:hAnsi="Times New Roman"/>
                <w:sz w:val="24"/>
              </w:rPr>
              <w:t xml:space="preserve"> Костромская область, город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Солигалич, 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л. Набережная реки Костромы</w:t>
            </w:r>
            <w:r>
              <w:rPr>
                <w:rFonts w:ascii="Times New Roman" w:hAnsi="Times New Roman"/>
                <w:color w:val="000000"/>
                <w:sz w:val="24"/>
              </w:rPr>
              <w:t>, д. 76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Сведения о месте нахождения ОКН </w:t>
            </w:r>
          </w:p>
          <w:p w14:paraId="17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(адрес ОКН или при его отсутствии – описание местоположения ОКН), сведения о виде ОКН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Место нахождения ОКН – Костромская область, город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Солигалич, </w:t>
            </w: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л. Набережная реки Костромы</w:t>
            </w:r>
            <w:r>
              <w:rPr>
                <w:rFonts w:ascii="Times New Roman" w:hAnsi="Times New Roman"/>
                <w:color w:val="000000"/>
                <w:sz w:val="24"/>
              </w:rPr>
              <w:t>, д. 7</w:t>
            </w:r>
            <w:r>
              <w:rPr>
                <w:rFonts w:ascii="Times New Roman" w:hAnsi="Times New Roman"/>
                <w:sz w:val="24"/>
              </w:rPr>
              <w:t>6</w:t>
            </w:r>
          </w:p>
          <w:p w14:paraId="19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ОКН - памятник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 правообладателе (правообладателях) ОКН:</w:t>
            </w:r>
          </w:p>
          <w:p w14:paraId="1C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полное наименование юридического лица, фамилия, имя, отчество </w:t>
            </w:r>
          </w:p>
          <w:p w14:paraId="1D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наличии) индивидуального предпринимателя или физического лица;</w:t>
            </w:r>
          </w:p>
          <w:p w14:paraId="1E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 юридического лица или индивидуального предпринимателя;</w:t>
            </w:r>
          </w:p>
          <w:p w14:paraId="1F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места нахождения и осуществления деятельности юридического лица, индивидуального предпринимателя, адрес места жительства физического лица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Разумов Дмитрий Валерьевич, 07.02.1975 г.р.Владимирская область, г. Суздаль, ул. Гастева, д. 23.</w:t>
            </w:r>
          </w:p>
          <w:p w14:paraId="21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2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3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</w:p>
          <w:p w14:paraId="24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5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Сведения о юридических лицах, индивидуальных предпринимателях, физических лицах, осуществляющих работы по сохранению ОКН, включая осуществление авторского </w:t>
            </w:r>
          </w:p>
          <w:p w14:paraId="27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 технического надзора, а также научное руководство работами по сохранению ОКН:</w:t>
            </w:r>
          </w:p>
          <w:p w14:paraId="28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полное наименование юридического лица, фамилия, имя, отчество </w:t>
            </w:r>
          </w:p>
          <w:p w14:paraId="29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(при наличии) индивидуального предпринимателя или физического лица;</w:t>
            </w:r>
          </w:p>
          <w:p w14:paraId="2A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ОГРН юридического лица или индивидуального предпринимателя;</w:t>
            </w:r>
          </w:p>
          <w:p w14:paraId="2B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места нахождения и осуществления деятельности юридического лица, индивидуального предпринимателя, адрес места жительства физического лица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C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D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Сведения об утвержденном охранном обязательстве собственника или иного законного владельца объекта культурного наследия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Приказ инспекции по охране объектов культурного наследия Костромской области от 16.06.2021 г. № 69</w:t>
            </w:r>
          </w:p>
          <w:p w14:paraId="30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  <w:highlight w:val="white"/>
              </w:rPr>
            </w:pPr>
          </w:p>
          <w:p w14:paraId="31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Состав (перечень) видов работ:</w:t>
            </w:r>
          </w:p>
          <w:p w14:paraId="32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1)Организовать проведение противоаварийных и консервационных мероприятий по Объекту</w:t>
            </w:r>
          </w:p>
          <w:p w14:paraId="33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2)Организовать проведение мероприятий по разработке проектной документации по сохранению Объекта.. </w:t>
            </w:r>
          </w:p>
          <w:p w14:paraId="34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 Организовать проведение мероприятий по сохранению Объекта в соответствии с разработанной и согласованной уполномоченным органом проектной докуметацией. Организовать приемку выполненных работ, получить акт приемки выполненных работ.Организация работ в соответствии со ст.45 Федерального закона №73-ФЗ от 25.06.2002.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6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Периодичность проведения контрольных (надзорных) мероприятий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апрель 2024 года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8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9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контрольных (надзорных) мероприятий</w:t>
            </w:r>
            <w:r>
              <w:rPr>
                <w:rStyle w:val="Style_3_ch"/>
                <w:rFonts w:ascii="Times New Roman" w:hAnsi="Times New Roman"/>
                <w:sz w:val="24"/>
              </w:rPr>
              <w:footnoteReference w:id="1"/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A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Выездное обследование</w:t>
            </w:r>
          </w:p>
        </w:tc>
      </w:tr>
      <w:tr>
        <w:tc>
          <w:tcPr>
            <w:tcW w:type="dxa" w:w="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type="dxa" w:w="5082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spacing w:after="0" w:before="0" w:line="100" w:lineRule="atLeast"/>
              <w:ind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Инспектор (инспекторы), уполномоченные на проведение проверок, номер и дата выдачи его служебного удостоверения, сведения о лицах, привлекаемых к проведению проверок</w:t>
            </w:r>
          </w:p>
        </w:tc>
        <w:tc>
          <w:tcPr>
            <w:tcW w:type="dxa" w:w="453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D000000">
            <w:pPr>
              <w:spacing w:after="0" w:before="0" w:line="100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Попова Вера Николаевна – главный специалист отдела по строительству и архитектуре администрации Солигаличского муниципального округа Костромской области.</w:t>
            </w:r>
          </w:p>
          <w:p w14:paraId="3E000000">
            <w:pPr>
              <w:spacing w:after="0" w:before="0" w:line="100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Удостоверение от 24.03.2024 № 9</w:t>
            </w:r>
          </w:p>
        </w:tc>
      </w:tr>
    </w:tbl>
    <w:p w14:paraId="3F000000">
      <w:pPr>
        <w:spacing w:after="0" w:before="0" w:line="100" w:lineRule="atLeast"/>
        <w:ind/>
        <w:jc w:val="both"/>
        <w:rPr>
          <w:rFonts w:ascii="Arial" w:hAnsi="Arial"/>
          <w:sz w:val="24"/>
        </w:rPr>
      </w:pPr>
    </w:p>
    <w:sectPr>
      <w:pgSz w:h="15840" w:orient="portrait" w:w="12240"/>
      <w:pgMar w:bottom="993" w:footer="708" w:header="708" w:left="1559" w:right="1276" w:top="840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1">
    <w:p w14:paraId="40000000">
      <w:pPr>
        <w:spacing w:after="0" w:before="0" w:line="100" w:lineRule="atLeast"/>
        <w:ind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>Указываются контрольные (надзорные) мероприятия, предусматривающие взаимодействие с контролируемым лицом (инспекционный визит, рейдовый осмотр, документарная проверка, выездная проверка), и (или) контрольные (надзорные) мероприятия без взаимодействия с контролируемым лицом (наблюдение за соблюдением обязательных требований, выездное обследование).</w:t>
      </w:r>
    </w:p>
  </w:footnote>
</w:footnote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1"/>
      <w:spacing w:after="160" w:before="0" w:line="252" w:lineRule="auto"/>
      <w:ind w:firstLine="0" w:left="0" w:right="0"/>
    </w:pPr>
    <w:rPr>
      <w:rFonts w:ascii="Calibri" w:hAnsi="Calibri"/>
      <w:color w:val="000000"/>
      <w:sz w:val="22"/>
    </w:rPr>
  </w:style>
  <w:style w:default="1" w:styleId="Style_4_ch" w:type="character">
    <w:name w:val="Normal"/>
    <w:link w:val="Style_4"/>
    <w:rPr>
      <w:rFonts w:ascii="Calibri" w:hAnsi="Calibri"/>
      <w:color w:val="000000"/>
      <w:sz w:val="22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WW-Символы концевой сноски"/>
    <w:link w:val="Style_6_ch"/>
  </w:style>
  <w:style w:styleId="Style_6_ch" w:type="character">
    <w:name w:val="WW-Символы концевой сноски"/>
    <w:link w:val="Style_6"/>
  </w:style>
  <w:style w:styleId="Style_7" w:type="paragraph">
    <w:name w:val="toc 4"/>
    <w:next w:val="Style_4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4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4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Body Text"/>
    <w:basedOn w:val="Style_4"/>
    <w:link w:val="Style_10_ch"/>
    <w:pPr>
      <w:spacing w:after="120" w:before="0"/>
      <w:ind/>
    </w:pPr>
  </w:style>
  <w:style w:styleId="Style_10_ch" w:type="character">
    <w:name w:val="Body Text"/>
    <w:basedOn w:val="Style_4_ch"/>
    <w:link w:val="Style_10"/>
  </w:style>
  <w:style w:styleId="Style_11" w:type="paragraph">
    <w:name w:val="Заголовок таблицы"/>
    <w:basedOn w:val="Style_12"/>
    <w:link w:val="Style_11_ch"/>
    <w:pPr>
      <w:ind/>
      <w:jc w:val="center"/>
    </w:pPr>
    <w:rPr>
      <w:b w:val="1"/>
    </w:rPr>
  </w:style>
  <w:style w:styleId="Style_11_ch" w:type="character">
    <w:name w:val="Заголовок таблицы"/>
    <w:basedOn w:val="Style_12_ch"/>
    <w:link w:val="Style_11"/>
    <w:rPr>
      <w:b w:val="1"/>
    </w:rPr>
  </w:style>
  <w:style w:styleId="Style_12" w:type="paragraph">
    <w:name w:val="Содержимое таблицы"/>
    <w:basedOn w:val="Style_4"/>
    <w:link w:val="Style_12_ch"/>
  </w:style>
  <w:style w:styleId="Style_12_ch" w:type="character">
    <w:name w:val="Содержимое таблицы"/>
    <w:basedOn w:val="Style_4_ch"/>
    <w:link w:val="Style_12"/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heading 3"/>
    <w:next w:val="Style_4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5" w:type="paragraph">
    <w:name w:val="Заголовок"/>
    <w:basedOn w:val="Style_4"/>
    <w:next w:val="Style_10"/>
    <w:link w:val="Style_15_ch"/>
    <w:pPr>
      <w:keepNext w:val="1"/>
      <w:spacing w:after="120" w:before="240"/>
      <w:ind/>
    </w:pPr>
    <w:rPr>
      <w:rFonts w:ascii="Arial" w:hAnsi="Arial"/>
      <w:sz w:val="28"/>
    </w:rPr>
  </w:style>
  <w:style w:styleId="Style_15_ch" w:type="character">
    <w:name w:val="Заголовок"/>
    <w:basedOn w:val="Style_4_ch"/>
    <w:link w:val="Style_15"/>
    <w:rPr>
      <w:rFonts w:ascii="Arial" w:hAnsi="Arial"/>
      <w:sz w:val="28"/>
    </w:rPr>
  </w:style>
  <w:style w:styleId="Style_16" w:type="paragraph">
    <w:name w:val="Символ сноски"/>
    <w:link w:val="Style_16_ch"/>
  </w:style>
  <w:style w:styleId="Style_16_ch" w:type="character">
    <w:name w:val="Символ сноски"/>
    <w:link w:val="Style_16"/>
  </w:style>
  <w:style w:styleId="Style_17" w:type="paragraph">
    <w:name w:val="toc 3"/>
    <w:next w:val="Style_4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2" w:type="paragraph">
    <w:name w:val="ConsPlusNormal"/>
    <w:link w:val="Style_2_ch"/>
    <w:pPr>
      <w:widowControl w:val="0"/>
      <w:numPr>
        <w:ilvl w:val="0"/>
        <w:numId w:val="0"/>
      </w:numPr>
      <w:spacing w:after="0" w:before="0" w:line="100" w:lineRule="atLeast"/>
      <w:ind w:firstLine="720" w:left="0" w:right="0"/>
    </w:pPr>
    <w:rPr>
      <w:rFonts w:ascii="Arial" w:hAnsi="Arial"/>
      <w:color w:val="000000"/>
      <w:sz w:val="20"/>
    </w:rPr>
  </w:style>
  <w:style w:styleId="Style_2_ch" w:type="character">
    <w:name w:val="ConsPlusNormal"/>
    <w:link w:val="Style_2"/>
    <w:rPr>
      <w:rFonts w:ascii="Arial" w:hAnsi="Arial"/>
      <w:color w:val="000000"/>
      <w:sz w:val="20"/>
    </w:rPr>
  </w:style>
  <w:style w:styleId="Style_18" w:type="paragraph">
    <w:name w:val="Default Paragraph Font_0"/>
    <w:link w:val="Style_18_ch"/>
  </w:style>
  <w:style w:styleId="Style_18_ch" w:type="character">
    <w:name w:val="Default Paragraph Font_0"/>
    <w:link w:val="Style_18"/>
  </w:style>
  <w:style w:styleId="Style_19" w:type="paragraph">
    <w:name w:val="heading 5"/>
    <w:next w:val="Style_4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20" w:type="paragraph">
    <w:name w:val="heading 1"/>
    <w:next w:val="Style_4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basedOn w:val="Style_4"/>
    <w:link w:val="Style_22_ch"/>
    <w:pPr>
      <w:ind w:hanging="283" w:left="283" w:right="0"/>
    </w:pPr>
    <w:rPr>
      <w:sz w:val="20"/>
    </w:rPr>
  </w:style>
  <w:style w:styleId="Style_22_ch" w:type="character">
    <w:name w:val="Footnote"/>
    <w:basedOn w:val="Style_4_ch"/>
    <w:link w:val="Style_22"/>
    <w:rPr>
      <w:sz w:val="20"/>
    </w:rPr>
  </w:style>
  <w:style w:styleId="Style_23" w:type="paragraph">
    <w:name w:val="toc 1"/>
    <w:next w:val="Style_4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List"/>
    <w:basedOn w:val="Style_10"/>
    <w:link w:val="Style_24_ch"/>
  </w:style>
  <w:style w:styleId="Style_24_ch" w:type="character">
    <w:name w:val="List"/>
    <w:basedOn w:val="Style_10_ch"/>
    <w:link w:val="Style_24"/>
  </w:style>
  <w:style w:styleId="Style_25" w:type="paragraph">
    <w:name w:val="Header and Footer"/>
    <w:link w:val="Style_25_ch"/>
    <w:pPr>
      <w:spacing w:line="240" w:lineRule="auto"/>
      <w:ind/>
      <w:jc w:val="both"/>
    </w:pPr>
    <w:rPr>
      <w:rFonts w:ascii="XO Thames" w:hAnsi="XO Thames"/>
      <w:sz w:val="20"/>
    </w:rPr>
  </w:style>
  <w:style w:styleId="Style_25_ch" w:type="character">
    <w:name w:val="Header and Footer"/>
    <w:link w:val="Style_25"/>
    <w:rPr>
      <w:rFonts w:ascii="XO Thames" w:hAnsi="XO Thames"/>
      <w:sz w:val="20"/>
    </w:rPr>
  </w:style>
  <w:style w:styleId="Style_26" w:type="paragraph">
    <w:name w:val="footnote reference"/>
    <w:basedOn w:val="Style_18"/>
    <w:link w:val="Style_26_ch"/>
    <w:rPr>
      <w:vertAlign w:val="superscript"/>
    </w:rPr>
  </w:style>
  <w:style w:styleId="Style_26_ch" w:type="character">
    <w:name w:val="footnote reference"/>
    <w:basedOn w:val="Style_18_ch"/>
    <w:link w:val="Style_26"/>
    <w:rPr>
      <w:vertAlign w:val="superscript"/>
    </w:rPr>
  </w:style>
  <w:style w:styleId="Style_27" w:type="paragraph">
    <w:name w:val="toc 9"/>
    <w:next w:val="Style_4"/>
    <w:link w:val="Style_2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7_ch" w:type="character">
    <w:name w:val="toc 9"/>
    <w:link w:val="Style_27"/>
    <w:rPr>
      <w:rFonts w:ascii="XO Thames" w:hAnsi="XO Thames"/>
      <w:sz w:val="28"/>
    </w:rPr>
  </w:style>
  <w:style w:styleId="Style_28" w:type="paragraph">
    <w:name w:val="toc 8"/>
    <w:next w:val="Style_4"/>
    <w:link w:val="Style_2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3" w:type="paragraph">
    <w:name w:val="footnote reference"/>
    <w:link w:val="Style_3_ch"/>
    <w:rPr>
      <w:vertAlign w:val="superscript"/>
    </w:rPr>
  </w:style>
  <w:style w:styleId="Style_3_ch" w:type="character">
    <w:name w:val="footnote reference"/>
    <w:link w:val="Style_3"/>
    <w:rPr>
      <w:vertAlign w:val="superscript"/>
    </w:rPr>
  </w:style>
  <w:style w:styleId="Style_29" w:type="paragraph">
    <w:name w:val="toc 5"/>
    <w:next w:val="Style_4"/>
    <w:link w:val="Style_2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Символы концевой сноски"/>
    <w:link w:val="Style_30_ch"/>
    <w:rPr>
      <w:vertAlign w:val="superscript"/>
    </w:rPr>
  </w:style>
  <w:style w:styleId="Style_30_ch" w:type="character">
    <w:name w:val="Символы концевой сноски"/>
    <w:link w:val="Style_30"/>
    <w:rPr>
      <w:vertAlign w:val="superscript"/>
    </w:rPr>
  </w:style>
  <w:style w:styleId="Style_31" w:type="paragraph">
    <w:name w:val="Указатель"/>
    <w:basedOn w:val="Style_4"/>
    <w:link w:val="Style_31_ch"/>
  </w:style>
  <w:style w:styleId="Style_31_ch" w:type="character">
    <w:name w:val="Указатель"/>
    <w:basedOn w:val="Style_4_ch"/>
    <w:link w:val="Style_31"/>
  </w:style>
  <w:style w:styleId="Style_32" w:type="paragraph">
    <w:name w:val="Subtitle"/>
    <w:next w:val="Style_4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Название"/>
    <w:basedOn w:val="Style_4"/>
    <w:link w:val="Style_33_ch"/>
    <w:pPr>
      <w:spacing w:after="120" w:before="120"/>
      <w:ind/>
    </w:pPr>
    <w:rPr>
      <w:i w:val="1"/>
      <w:sz w:val="24"/>
    </w:rPr>
  </w:style>
  <w:style w:styleId="Style_33_ch" w:type="character">
    <w:name w:val="Название"/>
    <w:basedOn w:val="Style_4_ch"/>
    <w:link w:val="Style_33"/>
    <w:rPr>
      <w:i w:val="1"/>
      <w:sz w:val="24"/>
    </w:rPr>
  </w:style>
  <w:style w:styleId="Style_34" w:type="paragraph">
    <w:name w:val="Title"/>
    <w:next w:val="Style_4"/>
    <w:link w:val="Style_3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4_ch" w:type="character">
    <w:name w:val="Title"/>
    <w:link w:val="Style_34"/>
    <w:rPr>
      <w:rFonts w:ascii="XO Thames" w:hAnsi="XO Thames"/>
      <w:b w:val="1"/>
      <w:caps w:val="1"/>
      <w:sz w:val="40"/>
    </w:rPr>
  </w:style>
  <w:style w:styleId="Style_35" w:type="paragraph">
    <w:name w:val="heading 4"/>
    <w:next w:val="Style_4"/>
    <w:link w:val="Style_3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5_ch" w:type="character">
    <w:name w:val="heading 4"/>
    <w:link w:val="Style_35"/>
    <w:rPr>
      <w:rFonts w:ascii="XO Thames" w:hAnsi="XO Thames"/>
      <w:b w:val="1"/>
      <w:sz w:val="24"/>
    </w:rPr>
  </w:style>
  <w:style w:styleId="Style_36" w:type="paragraph">
    <w:name w:val="heading 2"/>
    <w:next w:val="Style_4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styleId="Style_37" w:type="paragraph">
    <w:name w:val="endnote reference"/>
    <w:link w:val="Style_37_ch"/>
    <w:rPr>
      <w:vertAlign w:val="superscript"/>
    </w:rPr>
  </w:style>
  <w:style w:styleId="Style_37_ch" w:type="character">
    <w:name w:val="endnote reference"/>
    <w:link w:val="Style_37"/>
    <w:rPr>
      <w:vertAlign w:val="superscript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footnotes.xml" Type="http://schemas.openxmlformats.org/officeDocument/2006/relationships/footnotes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2024-06-25T07:02:51Z</dcterms:modified>
</cp:coreProperties>
</file>